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8375" w14:textId="0CCF8560" w:rsidR="004361B1" w:rsidRPr="00A91490" w:rsidRDefault="004361B1" w:rsidP="00CE1DB3">
      <w:pPr>
        <w:pStyle w:val="Nagwek1"/>
        <w:ind w:right="545"/>
        <w:rPr>
          <w:rFonts w:cs="Arial"/>
          <w:bCs/>
          <w:color w:val="2E74B5" w:themeColor="accent5" w:themeShade="BF"/>
        </w:rPr>
      </w:pPr>
      <w:r w:rsidRPr="00A91490">
        <w:rPr>
          <w:rFonts w:cs="Arial"/>
          <w:bCs/>
          <w:color w:val="2E74B5" w:themeColor="accent5" w:themeShade="BF"/>
        </w:rPr>
        <w:t>بند جدول الأعمال رقم 10: مجموعة عمل تنفيذ مراجعة اللجنة الاستشارية الحكومية ومجلس الإدارة</w:t>
      </w:r>
    </w:p>
    <w:p w14:paraId="6F7711BB" w14:textId="0A2CDF52" w:rsidR="00C365F8" w:rsidRPr="00A91490" w:rsidRDefault="00C365F8" w:rsidP="00825BCE">
      <w:pPr>
        <w:pStyle w:val="Nagwek2"/>
      </w:pPr>
      <w:r w:rsidRPr="00A91490">
        <w:rPr>
          <w:rtl/>
        </w:rPr>
        <w:t xml:space="preserve">ملاحظة: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أعد فريق دعم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lang w:val="en-US" w:eastAsia="ar-EG" w:bidi="ar-EG"/>
        </w:rPr>
        <w:t>ICANN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 هذا البيان الموجز.</w:t>
      </w:r>
    </w:p>
    <w:p w14:paraId="0A7735AC" w14:textId="77777777" w:rsidR="00C365F8" w:rsidRPr="00A91490" w:rsidRDefault="00C365F8" w:rsidP="00C365F8">
      <w:pPr>
        <w:pStyle w:val="Tekstpodstawowy"/>
        <w:rPr>
          <w:rFonts w:cs="Arial"/>
        </w:rPr>
      </w:pPr>
    </w:p>
    <w:p w14:paraId="3E153AFD" w14:textId="22C4B596" w:rsidR="00EA4C85" w:rsidRPr="00A91490" w:rsidRDefault="004361B1" w:rsidP="00825BCE">
      <w:pPr>
        <w:pStyle w:val="Nagwek2"/>
        <w:rPr>
          <w:rFonts w:ascii="Century Gothic" w:hAnsi="Century Gothic"/>
        </w:rPr>
      </w:pPr>
      <w:r w:rsidRPr="00A91490">
        <w:rPr>
          <w:rtl/>
        </w:rPr>
        <w:t>القضية</w:t>
      </w:r>
      <w:r w:rsidRPr="00A91490">
        <w:rPr>
          <w:rFonts w:ascii="Century Gothic" w:hAnsi="Century Gothic"/>
          <w:rtl/>
        </w:rPr>
        <w:t>:</w:t>
      </w:r>
    </w:p>
    <w:p w14:paraId="7109631B" w14:textId="77777777" w:rsidR="00825BCE" w:rsidRPr="00A91490" w:rsidRDefault="00825BCE" w:rsidP="00825BCE">
      <w:pPr>
        <w:pStyle w:val="Nagwek2"/>
      </w:pPr>
      <w:bookmarkStart w:id="0" w:name="_GoBack"/>
      <w:bookmarkEnd w:id="0"/>
    </w:p>
    <w:p w14:paraId="2FEB9F26" w14:textId="1000D9AF" w:rsidR="00EA4C85" w:rsidRPr="00A91490" w:rsidRDefault="00E15B53" w:rsidP="009235E4">
      <w:pPr>
        <w:pStyle w:val="Tekstpodstawowy"/>
        <w:spacing w:after="0" w:line="276" w:lineRule="auto"/>
        <w:rPr>
          <w:rFonts w:ascii="Arabic Transparent" w:hAnsi="Arabic Transparent" w:cs="Arial"/>
          <w:color w:val="000000" w:themeColor="text1"/>
          <w:sz w:val="20"/>
          <w:szCs w:val="20"/>
        </w:rPr>
      </w:pP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كانت الجهود المبذولة لتحسين معالجة وتعقب نصائح ومشورات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محور اهتمام أساسي لكل من مجلس الإدارة ولجنة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لفترة من الوقت.  وأدركت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أن التحسينات في طرق عملها وجهودها من أجل تحسين العمليات فيما بين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ومجلس إدارة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rtl w:val="0"/>
        </w:rPr>
        <w:t>ICANN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قد حققت تقدمًا على مدار الأعوام العديدة الماضية.</w:t>
      </w:r>
    </w:p>
    <w:p w14:paraId="2E879282" w14:textId="77777777" w:rsidR="00533EC9" w:rsidRPr="00A91490" w:rsidRDefault="00533EC9" w:rsidP="00533EC9">
      <w:pPr>
        <w:pStyle w:val="Tekstpodstawowy"/>
        <w:rPr>
          <w:rFonts w:cs="Arial"/>
          <w:sz w:val="20"/>
          <w:szCs w:val="20"/>
        </w:rPr>
      </w:pPr>
    </w:p>
    <w:p w14:paraId="4C4C6784" w14:textId="48520062" w:rsidR="00533EC9" w:rsidRPr="00A91490" w:rsidRDefault="00E6612A" w:rsidP="00533EC9">
      <w:pPr>
        <w:pStyle w:val="Tekstpodstawowy"/>
        <w:spacing w:after="0" w:line="276" w:lineRule="auto"/>
        <w:rPr>
          <w:rFonts w:ascii="Arabic Transparent" w:hAnsi="Arabic Transparent" w:cs="Arial"/>
          <w:color w:val="000000" w:themeColor="text1"/>
          <w:sz w:val="20"/>
          <w:szCs w:val="20"/>
        </w:rPr>
      </w:pP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>وقد أثبتت مجموعة عمل تنفيذ مراجعة مجلس الإدارة-اللجنة الاستشارية العامة (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BGRI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>) التي نشأت منذ عام 2011 بهدف تناول التوصيات المقدمة من فريق مراجعة المسؤولية والشفافية (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ATRT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) أنها وسيلة مفيدة في إجراء حوار اعتيادي فيما بين أعضاء مجلس الإدارة وأعضاء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.  وحتى هذا التاريخ، حقق العمل تحسنًا في تلقي ودراسة ومعالجة وتعقب نصائح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إلى مجلس إدارة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ICANN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. وقد تراوحت القضايا التي تناولنها مناقشات مجموعة عمل تنفيذ مراجعة مجلس الإدارة-اللجنة الاستشارية العامة ما بين التعريف الفعلي لنصائح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إلى تبادل المعلومات فيما بين الكيانين، إلى دعم أمانة سر اللجنة الاستشارية الحكومية وتعديل مبادئ تشغيل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وذلك على سبيل المثال لا حصر الموضوعات الأخرى.</w:t>
      </w:r>
    </w:p>
    <w:p w14:paraId="0CE590DD" w14:textId="77777777" w:rsidR="00533EC9" w:rsidRPr="00A91490" w:rsidRDefault="00533EC9" w:rsidP="000F5DA7">
      <w:pPr>
        <w:pStyle w:val="Tekstpodstawowy"/>
        <w:spacing w:line="276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7E0330C" w14:textId="2A2C10EA" w:rsidR="00533EC9" w:rsidRPr="00A91490" w:rsidRDefault="00533EC9" w:rsidP="00533EC9">
      <w:pPr>
        <w:pStyle w:val="Tekstpodstawowy"/>
        <w:spacing w:after="0" w:line="276" w:lineRule="auto"/>
        <w:rPr>
          <w:rFonts w:ascii="Arabic Transparent" w:hAnsi="Arabic Transparent" w:cs="Arial"/>
          <w:color w:val="000000" w:themeColor="text1"/>
          <w:sz w:val="20"/>
          <w:szCs w:val="20"/>
        </w:rPr>
      </w:pP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وفي الآونة الأخيرة، استخدم أعضاء قيادة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ومجلس الإدارة مجموعة عمل تنفيذ مراجعة مجلس الإدارة-اللجنة الاستشارية العامة كوسيلة مفيدة لإجراء المناقشات التشغيلية وعمليات فحص الجوانب الاستراتيجية في علاقة العمل الخاصة بهم.</w:t>
      </w:r>
    </w:p>
    <w:p w14:paraId="3AD58F69" w14:textId="77777777" w:rsidR="00EA4C85" w:rsidRPr="00A91490" w:rsidRDefault="00EA4C85" w:rsidP="00EA4C85">
      <w:pPr>
        <w:pStyle w:val="Tekstpodstawowy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E860E82" w14:textId="5D67D87C" w:rsidR="004361B1" w:rsidRPr="00A91490" w:rsidRDefault="004361B1" w:rsidP="00825BCE">
      <w:pPr>
        <w:pStyle w:val="Nagwek2"/>
      </w:pPr>
      <w:r w:rsidRPr="00A91490">
        <w:rPr>
          <w:rtl/>
        </w:rPr>
        <w:t>إجراء</w:t>
      </w:r>
      <w:r w:rsidRPr="00A91490">
        <w:t xml:space="preserve"> </w:t>
      </w:r>
      <w:r w:rsidRPr="00A91490">
        <w:rPr>
          <w:rtl/>
        </w:rPr>
        <w:t>لجنة</w:t>
      </w:r>
      <w:r w:rsidRPr="00A91490">
        <w:t xml:space="preserve"> GAC </w:t>
      </w:r>
      <w:r w:rsidRPr="00A91490">
        <w:rPr>
          <w:rtl/>
        </w:rPr>
        <w:t>المطلوب</w:t>
      </w:r>
      <w:r w:rsidRPr="00A91490">
        <w:t xml:space="preserve"> </w:t>
      </w:r>
      <w:r w:rsidRPr="00A91490">
        <w:rPr>
          <w:rtl/>
        </w:rPr>
        <w:t>اتخاذه:</w:t>
      </w:r>
    </w:p>
    <w:p w14:paraId="4E41603B" w14:textId="77777777" w:rsidR="004134C7" w:rsidRPr="00A91490" w:rsidRDefault="004134C7" w:rsidP="004134C7">
      <w:pPr>
        <w:pStyle w:val="Tekstpodstawowy"/>
        <w:rPr>
          <w:rFonts w:cs="Arial"/>
        </w:rPr>
      </w:pPr>
    </w:p>
    <w:p w14:paraId="3D15A20F" w14:textId="10D67A81" w:rsidR="004134C7" w:rsidRPr="00A91490" w:rsidRDefault="004134C7" w:rsidP="004134C7">
      <w:pPr>
        <w:pStyle w:val="Tekstpodstawowy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لم يتم الانتهاء بعد من أعمال التحسينات وثمة أمور إضافية يجب استقصاؤها فيما بين هاتين المجموعتين الهامتين في </w:t>
      </w:r>
      <w:r w:rsidRPr="00A91490">
        <w:rPr>
          <w:rFonts w:ascii="Arabic Transparent" w:hAnsi="Arabic Transparent" w:cs="Arial"/>
          <w:sz w:val="20"/>
          <w:rtl w:val="0"/>
        </w:rPr>
        <w:t>ICANN</w:t>
      </w:r>
      <w:r w:rsidRPr="00A91490">
        <w:rPr>
          <w:rFonts w:ascii="Arabic Transparent" w:hAnsi="Arabic Transparent" w:cs="Arial"/>
          <w:sz w:val="20"/>
          <w:szCs w:val="20"/>
        </w:rPr>
        <w:t>.</w:t>
      </w:r>
    </w:p>
    <w:p w14:paraId="4CAB09DD" w14:textId="77777777" w:rsidR="000A353D" w:rsidRPr="00A91490" w:rsidRDefault="000A353D" w:rsidP="004361B1">
      <w:pPr>
        <w:pStyle w:val="Tekstpodstawowy"/>
        <w:rPr>
          <w:rFonts w:cs="Arial"/>
        </w:rPr>
      </w:pPr>
    </w:p>
    <w:p w14:paraId="544559DF" w14:textId="75B51315" w:rsidR="004361B1" w:rsidRPr="00A91490" w:rsidRDefault="004361B1" w:rsidP="00825BCE">
      <w:pPr>
        <w:pStyle w:val="Nagwek2"/>
        <w:rPr>
          <w:rtl/>
        </w:rPr>
      </w:pPr>
      <w:r w:rsidRPr="00A91490">
        <w:rPr>
          <w:rtl/>
        </w:rPr>
        <w:t>الوضع الحالي:</w:t>
      </w:r>
    </w:p>
    <w:p w14:paraId="0B893029" w14:textId="77777777" w:rsidR="00F42B96" w:rsidRPr="00A91490" w:rsidRDefault="00F42B96" w:rsidP="00F42B96">
      <w:pPr>
        <w:pStyle w:val="Tekstpodstawowy"/>
        <w:rPr>
          <w:rFonts w:cs="Arial"/>
        </w:rPr>
      </w:pPr>
    </w:p>
    <w:p w14:paraId="29095243" w14:textId="0B0FE023" w:rsidR="00F42B96" w:rsidRPr="00A91490" w:rsidRDefault="00F42B96" w:rsidP="00F42B96">
      <w:pPr>
        <w:pStyle w:val="Tekstpodstawowy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>في حين لا تزال بنود جدول الأعمال قيد التطوير، إلا أن ما يتم مناقشته منها لهذه الجلسة يشتمل في الوقت الحالي على الموضوعات التالية:</w:t>
      </w:r>
    </w:p>
    <w:p w14:paraId="46A80EFA" w14:textId="77777777" w:rsidR="007074E5" w:rsidRPr="00A91490" w:rsidRDefault="007074E5" w:rsidP="00F42B96">
      <w:pPr>
        <w:pStyle w:val="Tekstpodstawowy"/>
        <w:rPr>
          <w:rFonts w:ascii="Century Gothic" w:hAnsi="Century Gothic" w:cs="Arial"/>
          <w:sz w:val="20"/>
          <w:szCs w:val="20"/>
        </w:rPr>
      </w:pPr>
    </w:p>
    <w:p w14:paraId="70D5FB6A" w14:textId="77777777" w:rsidR="00533EC9" w:rsidRPr="00A91490" w:rsidRDefault="00533EC9" w:rsidP="00533EC9">
      <w:pPr>
        <w:pStyle w:val="Tekstpodstawowy"/>
        <w:ind w:left="720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>1.  سجل طلبات الإجراءات</w:t>
      </w:r>
    </w:p>
    <w:p w14:paraId="5C1AF7B5" w14:textId="77777777" w:rsidR="00533EC9" w:rsidRPr="00A91490" w:rsidRDefault="00533EC9" w:rsidP="00533EC9">
      <w:pPr>
        <w:pStyle w:val="Tekstpodstawowy"/>
        <w:ind w:left="1440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>أ. الحالة والخطوات التالية</w:t>
      </w:r>
    </w:p>
    <w:p w14:paraId="119DD1AB" w14:textId="77777777" w:rsidR="00533EC9" w:rsidRPr="00A91490" w:rsidRDefault="00533EC9" w:rsidP="00533EC9">
      <w:pPr>
        <w:pStyle w:val="Tekstpodstawowy"/>
        <w:ind w:left="1440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ب. النظر في النصائح التاريخية (ما قبل اجتماع بكين) وربما الفئات الأخرى (على سبيل المثال؛ مبادئ </w:t>
      </w:r>
      <w:r w:rsidRPr="00A91490">
        <w:rPr>
          <w:rFonts w:ascii="Arabic Transparent" w:hAnsi="Arabic Transparent" w:cs="Arial"/>
          <w:sz w:val="20"/>
          <w:rtl w:val="0"/>
        </w:rPr>
        <w:t>GAC</w:t>
      </w:r>
      <w:r w:rsidRPr="00A91490">
        <w:rPr>
          <w:rFonts w:ascii="Arabic Transparent" w:hAnsi="Arabic Transparent" w:cs="Arial"/>
          <w:sz w:val="20"/>
          <w:szCs w:val="20"/>
        </w:rPr>
        <w:t xml:space="preserve"> بخصوص نطاقات </w:t>
      </w:r>
      <w:proofErr w:type="spellStart"/>
      <w:r w:rsidRPr="00A91490">
        <w:rPr>
          <w:rFonts w:ascii="Arabic Transparent" w:hAnsi="Arabic Transparent" w:cs="Arial"/>
          <w:sz w:val="20"/>
          <w:rtl w:val="0"/>
        </w:rPr>
        <w:t>ccTLD</w:t>
      </w:r>
      <w:proofErr w:type="spellEnd"/>
      <w:r w:rsidRPr="00A91490">
        <w:rPr>
          <w:rFonts w:ascii="Arabic Transparent" w:hAnsi="Arabic Transparent" w:cs="Arial"/>
          <w:sz w:val="20"/>
          <w:szCs w:val="20"/>
        </w:rPr>
        <w:t xml:space="preserve"> أو نطاقات </w:t>
      </w:r>
      <w:proofErr w:type="spellStart"/>
      <w:r w:rsidRPr="00A91490">
        <w:rPr>
          <w:rFonts w:ascii="Arabic Transparent" w:hAnsi="Arabic Transparent" w:cs="Arial"/>
          <w:sz w:val="20"/>
          <w:rtl w:val="0"/>
        </w:rPr>
        <w:t>gTLD</w:t>
      </w:r>
      <w:proofErr w:type="spellEnd"/>
      <w:r w:rsidRPr="00A91490">
        <w:rPr>
          <w:rFonts w:ascii="Arabic Transparent" w:hAnsi="Arabic Transparent" w:cs="Arial"/>
          <w:sz w:val="20"/>
          <w:szCs w:val="20"/>
        </w:rPr>
        <w:t xml:space="preserve"> الجديدة؟)</w:t>
      </w:r>
    </w:p>
    <w:p w14:paraId="6E814AB6" w14:textId="77777777" w:rsidR="00533EC9" w:rsidRPr="00A91490" w:rsidRDefault="00533EC9" w:rsidP="00533EC9">
      <w:pPr>
        <w:pStyle w:val="Tekstpodstawowy"/>
        <w:ind w:left="720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2.  متابعة معلومات الويب ذات الحرفين (إحاطة من فريق إدارة منتجات </w:t>
      </w:r>
      <w:r w:rsidRPr="00A91490">
        <w:rPr>
          <w:rFonts w:ascii="Arabic Transparent" w:hAnsi="Arabic Transparent" w:cs="Arial"/>
          <w:sz w:val="20"/>
          <w:rtl w:val="0"/>
        </w:rPr>
        <w:t>ICANN</w:t>
      </w:r>
      <w:r w:rsidRPr="00A91490">
        <w:rPr>
          <w:rFonts w:ascii="Arabic Transparent" w:hAnsi="Arabic Transparent" w:cs="Arial"/>
          <w:sz w:val="20"/>
          <w:szCs w:val="20"/>
        </w:rPr>
        <w:t>)</w:t>
      </w:r>
    </w:p>
    <w:p w14:paraId="413C8410" w14:textId="77777777" w:rsidR="00533EC9" w:rsidRPr="00A91490" w:rsidRDefault="00533EC9" w:rsidP="00533EC9">
      <w:pPr>
        <w:pStyle w:val="Tekstpodstawowy"/>
        <w:rPr>
          <w:rFonts w:ascii="Century Gothic" w:hAnsi="Century Gothic" w:cs="Arial"/>
          <w:sz w:val="20"/>
          <w:szCs w:val="20"/>
        </w:rPr>
      </w:pPr>
    </w:p>
    <w:p w14:paraId="49A33DEB" w14:textId="45C017FD" w:rsidR="00533EC9" w:rsidRPr="00A91490" w:rsidRDefault="00533EC9" w:rsidP="00533EC9">
      <w:pPr>
        <w:pStyle w:val="Tekstpodstawowy"/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سوف يتم تقديم تقارير إحاطة مع تطور جدول الأعمال المشار إليه قبل اجتماع </w:t>
      </w:r>
      <w:r w:rsidRPr="00A91490">
        <w:rPr>
          <w:rFonts w:ascii="Arabic Transparent" w:hAnsi="Arabic Transparent" w:cs="Arial"/>
          <w:sz w:val="20"/>
          <w:rtl w:val="0"/>
        </w:rPr>
        <w:t>ICANN62</w:t>
      </w:r>
      <w:r w:rsidRPr="00A91490">
        <w:rPr>
          <w:rFonts w:ascii="Arabic Transparent" w:hAnsi="Arabic Transparent" w:cs="Arial"/>
          <w:sz w:val="20"/>
          <w:szCs w:val="20"/>
        </w:rPr>
        <w:t>.</w:t>
      </w:r>
    </w:p>
    <w:p w14:paraId="7D92772E" w14:textId="77777777" w:rsidR="00533EC9" w:rsidRPr="00A91490" w:rsidRDefault="00533EC9" w:rsidP="00533EC9">
      <w:pPr>
        <w:pStyle w:val="Tekstpodstawowy"/>
        <w:rPr>
          <w:rFonts w:ascii="Century Gothic" w:hAnsi="Century Gothic" w:cs="Arial"/>
        </w:rPr>
      </w:pPr>
    </w:p>
    <w:p w14:paraId="50295ED3" w14:textId="583D1093" w:rsidR="00E15B53" w:rsidRPr="00A91490" w:rsidRDefault="004361B1" w:rsidP="00825BCE">
      <w:pPr>
        <w:pStyle w:val="Nagwek2"/>
      </w:pPr>
      <w:r w:rsidRPr="00A91490">
        <w:rPr>
          <w:rtl/>
        </w:rPr>
        <w:lastRenderedPageBreak/>
        <w:t>مزيد</w:t>
      </w:r>
      <w:r w:rsidRPr="00A91490">
        <w:t xml:space="preserve"> </w:t>
      </w:r>
      <w:r w:rsidRPr="00A91490">
        <w:rPr>
          <w:rtl/>
        </w:rPr>
        <w:t>من</w:t>
      </w:r>
      <w:r w:rsidRPr="00A91490">
        <w:t xml:space="preserve"> </w:t>
      </w:r>
      <w:r w:rsidRPr="00A91490">
        <w:rPr>
          <w:rtl/>
        </w:rPr>
        <w:t>معلومات</w:t>
      </w:r>
      <w:r w:rsidRPr="00A91490">
        <w:t xml:space="preserve"> </w:t>
      </w:r>
      <w:r w:rsidRPr="00A91490">
        <w:rPr>
          <w:rtl/>
        </w:rPr>
        <w:t>الخلفية</w:t>
      </w:r>
      <w:r w:rsidRPr="00A91490">
        <w:t>/</w:t>
      </w:r>
      <w:r w:rsidRPr="00A91490">
        <w:rPr>
          <w:rtl/>
        </w:rPr>
        <w:t>التفاصيل</w:t>
      </w:r>
      <w:r w:rsidRPr="00A91490">
        <w:t>:</w:t>
      </w:r>
    </w:p>
    <w:p w14:paraId="4FFE7001" w14:textId="77777777" w:rsidR="00EA4C85" w:rsidRPr="00A91490" w:rsidRDefault="00EA4C85" w:rsidP="00AD289B">
      <w:pPr>
        <w:pStyle w:val="Tekstpodstawowy"/>
        <w:keepNext/>
        <w:keepLines/>
        <w:rPr>
          <w:rFonts w:cs="Arial"/>
        </w:rPr>
      </w:pPr>
    </w:p>
    <w:p w14:paraId="1041C00F" w14:textId="3C5F3A36" w:rsidR="00603893" w:rsidRPr="00A91490" w:rsidRDefault="00E15B53" w:rsidP="00825BCE">
      <w:pPr>
        <w:pStyle w:val="Nagwek2"/>
      </w:pP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لقد تم إنشاء مجموعة عمل تنفيذ توصيات مجلس الإدارة واللجنة الاستشارية الحكومية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lang w:val="en-US" w:eastAsia="ar-EG" w:bidi="ar-EG"/>
        </w:rPr>
        <w:t>(BGRI-WG)</w:t>
      </w:r>
      <w:r w:rsidRPr="00A91490">
        <w:t xml:space="preserve"> (</w:t>
      </w:r>
      <w:hyperlink r:id="rId7">
        <w:r w:rsidRPr="00A91490">
          <w:rPr>
            <w:rStyle w:val="Hipercze"/>
            <w:b w:val="0"/>
            <w:color w:val="034990" w:themeColor="hyperlink" w:themeShade="BF"/>
            <w:sz w:val="20"/>
          </w:rPr>
          <w:t>https://www.icann.org/resources/pages/board-gac-2011-2012-02-28-en</w:t>
        </w:r>
      </w:hyperlink>
      <w:r w:rsidRPr="00A91490">
        <w:t>)</w:t>
      </w:r>
      <w:r w:rsidRPr="00A91490">
        <w:rPr>
          <w:rtl/>
        </w:rPr>
        <w:t> 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>بالأساس من أجل</w:t>
      </w:r>
      <w:r w:rsidRPr="00A91490">
        <w:t xml:space="preserve">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>تنفيذ</w:t>
      </w:r>
      <w:r w:rsidRPr="00A91490">
        <w:t xml:space="preserve">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التوصيات ذات الصلة بلجنة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lang w:val="en-US" w:eastAsia="ar-EG" w:bidi="ar-EG"/>
        </w:rPr>
        <w:t xml:space="preserve">GAC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لفريق مراجعة مساءلة وشفافية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lang w:val="en-US" w:eastAsia="ar-EG" w:bidi="ar-EG"/>
        </w:rPr>
        <w:t xml:space="preserve">ICANN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rtl/>
          <w:lang w:val="en-US" w:eastAsia="ar-EG" w:bidi="ar-EG"/>
        </w:rPr>
        <w:t xml:space="preserve">الأول </w:t>
      </w:r>
      <w:r w:rsidRPr="00A91490">
        <w:rPr>
          <w:rFonts w:ascii="Arabic Transparent" w:eastAsia="Times New Roman" w:hAnsi="Arabic Transparent"/>
          <w:b w:val="0"/>
          <w:bCs w:val="0"/>
          <w:color w:val="000000" w:themeColor="text1"/>
          <w:sz w:val="20"/>
          <w:szCs w:val="20"/>
          <w:lang w:val="en-US" w:eastAsia="ar-EG" w:bidi="ar-EG"/>
        </w:rPr>
        <w:t>(ATRT1)</w:t>
      </w:r>
      <w:r w:rsidRPr="00A91490">
        <w:t xml:space="preserve"> </w:t>
      </w:r>
      <w:hyperlink r:id="rId8">
        <w:r w:rsidRPr="00A91490">
          <w:rPr>
            <w:rStyle w:val="Hipercze"/>
            <w:b w:val="0"/>
            <w:color w:val="034990" w:themeColor="hyperlink" w:themeShade="BF"/>
            <w:sz w:val="20"/>
          </w:rPr>
          <w:t>https://www.icann.org/resources/reviews/specific-reviews/atrt</w:t>
        </w:r>
      </w:hyperlink>
      <w:r w:rsidRPr="00A91490">
        <w:t xml:space="preserve">.  </w:t>
      </w:r>
    </w:p>
    <w:p w14:paraId="35E16029" w14:textId="77777777" w:rsidR="00603893" w:rsidRPr="00A91490" w:rsidRDefault="00603893" w:rsidP="00825BCE">
      <w:pPr>
        <w:pStyle w:val="Nagwek2"/>
      </w:pPr>
    </w:p>
    <w:p w14:paraId="48596282" w14:textId="1911DABB" w:rsidR="006B0F0E" w:rsidRPr="00A91490" w:rsidRDefault="00E15B53" w:rsidP="006B0F0E">
      <w:pPr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ثم تم تمديد فترة مجموعة عمل تنفيذ مراجعة مجلس الإدارة-اللجنة الاستشارية العامة من أجل تنفيذ التوصيات ذات الصلة بلجنة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لفريق مراجعة مساءلة وشفافية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ICANN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 الثاني (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ATRT2)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>، </w:t>
      </w:r>
      <w:hyperlink r:id="rId9">
        <w:r w:rsidRPr="00A91490">
          <w:rPr>
            <w:rStyle w:val="Hipercze"/>
            <w:rFonts w:ascii="Arabic Transparent" w:hAnsi="Arabic Transparent" w:cs="Arial"/>
            <w:sz w:val="20"/>
            <w:rtl w:val="0"/>
          </w:rPr>
          <w:t>https://www.icann.org/resources/reviews/specific-reviews/atrt</w:t>
        </w:r>
      </w:hyperlink>
      <w:r w:rsidRPr="00A91490">
        <w:rPr>
          <w:rFonts w:ascii="Arabic Transparent" w:hAnsi="Arabic Transparent" w:cs="Arial"/>
          <w:sz w:val="20"/>
          <w:szCs w:val="20"/>
        </w:rPr>
        <w:t xml:space="preserve">;  </w:t>
      </w:r>
    </w:p>
    <w:p w14:paraId="2E6114EA" w14:textId="77777777" w:rsidR="006B0F0E" w:rsidRPr="00A91490" w:rsidRDefault="006B0F0E" w:rsidP="006B0F0E">
      <w:pPr>
        <w:rPr>
          <w:rFonts w:ascii="Century Gothic" w:hAnsi="Century Gothic" w:cs="Arial"/>
          <w:sz w:val="20"/>
          <w:szCs w:val="20"/>
        </w:rPr>
      </w:pPr>
    </w:p>
    <w:p w14:paraId="3DD60B1B" w14:textId="0BF4378A" w:rsidR="006B0F0E" w:rsidRPr="00A91490" w:rsidRDefault="006B0F0E" w:rsidP="006B0F0E">
      <w:pPr>
        <w:rPr>
          <w:rFonts w:ascii="Arabic Transparent" w:hAnsi="Arabic Transparent" w:cs="Arial"/>
          <w:color w:val="0000D4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وراجع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صفحة ويكي لتنفيذ توصيات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ATRT2 -</w:t>
      </w:r>
      <w:r w:rsidRPr="00A91490">
        <w:rPr>
          <w:rFonts w:ascii="Arabic Transparent" w:hAnsi="Arabic Transparent" w:cs="Arial"/>
          <w:color w:val="0000D4"/>
          <w:sz w:val="20"/>
          <w:szCs w:val="20"/>
          <w:u w:val="single"/>
        </w:rPr>
        <w:t xml:space="preserve"> </w:t>
      </w:r>
      <w:hyperlink r:id="rId10">
        <w:r w:rsidRPr="00A91490">
          <w:rPr>
            <w:rStyle w:val="Hipercze"/>
            <w:rFonts w:ascii="Arabic Transparent" w:hAnsi="Arabic Transparent" w:cs="Arial"/>
            <w:sz w:val="20"/>
            <w:rtl w:val="0"/>
          </w:rPr>
          <w:t>https://community.icann.org/display/atrt/ATRT2+Implementation+Program</w:t>
        </w:r>
      </w:hyperlink>
      <w:r w:rsidRPr="00A91490">
        <w:rPr>
          <w:rFonts w:ascii="Arabic Transparent" w:hAnsi="Arabic Transparent" w:cs="Arial"/>
          <w:color w:val="0000D4"/>
          <w:sz w:val="20"/>
          <w:szCs w:val="20"/>
          <w:u w:val="single"/>
        </w:rPr>
        <w:t xml:space="preserve"> </w:t>
      </w:r>
      <w:r w:rsidRPr="00A91490">
        <w:rPr>
          <w:rFonts w:ascii="Arabic Transparent" w:hAnsi="Arabic Transparent" w:cs="Arial"/>
          <w:color w:val="0000D4"/>
          <w:sz w:val="20"/>
          <w:szCs w:val="20"/>
        </w:rPr>
        <w:t xml:space="preserve">- 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</w:rPr>
        <w:t xml:space="preserve">راجع التوصية 6 من توصيات </w:t>
      </w:r>
      <w:r w:rsidRPr="00A91490">
        <w:rPr>
          <w:rFonts w:ascii="Arabic Transparent" w:hAnsi="Arabic Transparent" w:cs="Arial"/>
          <w:color w:val="000000" w:themeColor="text1"/>
          <w:sz w:val="20"/>
          <w:rtl w:val="0"/>
        </w:rPr>
        <w:t>GAC</w:t>
      </w:r>
    </w:p>
    <w:p w14:paraId="05EAA68C" w14:textId="77777777" w:rsidR="004134C7" w:rsidRPr="00A91490" w:rsidRDefault="004134C7" w:rsidP="004134C7">
      <w:pPr>
        <w:pStyle w:val="Tekstpodstawowy"/>
        <w:rPr>
          <w:rFonts w:ascii="Century Gothic" w:hAnsi="Century Gothic" w:cs="Arial"/>
        </w:rPr>
      </w:pPr>
    </w:p>
    <w:p w14:paraId="302575BD" w14:textId="7C9A591B" w:rsidR="004134C7" w:rsidRPr="00A91490" w:rsidRDefault="006B0F0E" w:rsidP="004134C7">
      <w:pPr>
        <w:pStyle w:val="Tekstpodstawowy"/>
        <w:rPr>
          <w:rFonts w:ascii="Arabic Transparent" w:hAnsi="Arabic Transparent" w:cs="Arial"/>
          <w:b/>
        </w:rPr>
      </w:pPr>
      <w:r w:rsidRPr="00A91490">
        <w:rPr>
          <w:rFonts w:ascii="Arabic Transparent" w:hAnsi="Arabic Transparent" w:cs="Arial"/>
          <w:b/>
          <w:bCs/>
        </w:rPr>
        <w:t>روابط أخرى مفيدة:</w:t>
      </w:r>
    </w:p>
    <w:p w14:paraId="4EB47880" w14:textId="7CDA0220" w:rsidR="004134C7" w:rsidRPr="00A91490" w:rsidRDefault="004134C7" w:rsidP="004134C7">
      <w:pPr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sz w:val="20"/>
          <w:szCs w:val="20"/>
        </w:rPr>
        <w:t xml:space="preserve">التوصيات النهائية لفريق </w:t>
      </w:r>
      <w:r w:rsidRPr="00A91490">
        <w:rPr>
          <w:rFonts w:ascii="Arabic Transparent" w:hAnsi="Arabic Transparent" w:cs="Arial"/>
          <w:sz w:val="20"/>
          <w:rtl w:val="0"/>
        </w:rPr>
        <w:t>ATRT</w:t>
      </w:r>
      <w:r w:rsidRPr="00A91490">
        <w:rPr>
          <w:rFonts w:ascii="Arabic Transparent" w:hAnsi="Arabic Transparent" w:cs="Arial"/>
          <w:sz w:val="20"/>
          <w:szCs w:val="20"/>
        </w:rPr>
        <w:t xml:space="preserve"> الأول - 31 ديسمبر/كانون الأول 2010:</w:t>
      </w:r>
    </w:p>
    <w:p w14:paraId="7C7FA4AE" w14:textId="77777777" w:rsidR="004134C7" w:rsidRPr="00A91490" w:rsidRDefault="00392376" w:rsidP="004134C7">
      <w:pPr>
        <w:rPr>
          <w:rFonts w:ascii="Arabic Transparent" w:hAnsi="Arabic Transparent" w:cs="Arial"/>
          <w:sz w:val="20"/>
          <w:szCs w:val="20"/>
        </w:rPr>
      </w:pPr>
      <w:hyperlink r:id="rId11">
        <w:r w:rsidR="00A31CA8" w:rsidRPr="00A91490">
          <w:rPr>
            <w:rFonts w:ascii="Arabic Transparent" w:hAnsi="Arabic Transparent" w:cs="Arial"/>
            <w:color w:val="0000D4"/>
            <w:sz w:val="20"/>
            <w:u w:val="single"/>
            <w:rtl w:val="0"/>
          </w:rPr>
          <w:t>http://www.icann.org/en/reviews/affirmation/atrt-final-recommendations-31dec10-en.pdf</w:t>
        </w:r>
      </w:hyperlink>
    </w:p>
    <w:p w14:paraId="43736A0B" w14:textId="77777777" w:rsidR="004134C7" w:rsidRPr="00A91490" w:rsidRDefault="004134C7" w:rsidP="004134C7">
      <w:pPr>
        <w:pStyle w:val="Akapitzlist"/>
        <w:rPr>
          <w:rFonts w:ascii="Century Gothic" w:hAnsi="Century Gothic" w:cs="Arial"/>
          <w:sz w:val="20"/>
          <w:szCs w:val="20"/>
        </w:rPr>
      </w:pPr>
    </w:p>
    <w:p w14:paraId="47DDB3C7" w14:textId="5F405E6D" w:rsidR="004134C7" w:rsidRPr="00A91490" w:rsidRDefault="00392376" w:rsidP="004134C7">
      <w:pPr>
        <w:rPr>
          <w:rFonts w:ascii="Arabic Transparent" w:hAnsi="Arabic Transparent" w:cs="Arial"/>
          <w:sz w:val="20"/>
          <w:szCs w:val="20"/>
        </w:rPr>
      </w:pPr>
      <w:hyperlink r:id="rId12">
        <w:r w:rsidR="00A31CA8" w:rsidRPr="00A91490">
          <w:rPr>
            <w:rFonts w:ascii="Arabic Transparent" w:hAnsi="Arabic Transparent" w:cs="Arial"/>
            <w:sz w:val="20"/>
            <w:szCs w:val="20"/>
          </w:rPr>
          <w:t>التقرير النهائي لمجموعة العمل المشتركة بين مجلس الإدارة/</w:t>
        </w:r>
        <w:r w:rsidR="00A31CA8" w:rsidRPr="00A91490">
          <w:rPr>
            <w:rFonts w:ascii="Arabic Transparent" w:hAnsi="Arabic Transparent" w:cs="Arial"/>
            <w:sz w:val="20"/>
            <w:rtl w:val="0"/>
          </w:rPr>
          <w:t>GAC</w:t>
        </w:r>
        <w:r w:rsidR="00A31CA8" w:rsidRPr="00A91490">
          <w:rPr>
            <w:rFonts w:ascii="Arabic Transparent" w:hAnsi="Arabic Transparent" w:cs="Arial"/>
            <w:sz w:val="20"/>
            <w:szCs w:val="20"/>
          </w:rPr>
          <w:t xml:space="preserve">- في 19 يونيو/حزيران 2011: </w:t>
        </w:r>
      </w:hyperlink>
    </w:p>
    <w:p w14:paraId="1F46A9D8" w14:textId="77777777" w:rsidR="004134C7" w:rsidRPr="00A91490" w:rsidRDefault="00392376" w:rsidP="004134C7">
      <w:pPr>
        <w:rPr>
          <w:rFonts w:ascii="Arabic Transparent" w:hAnsi="Arabic Transparent" w:cs="Arial"/>
          <w:color w:val="0000D4"/>
          <w:sz w:val="20"/>
          <w:szCs w:val="20"/>
          <w:u w:val="single"/>
        </w:rPr>
      </w:pPr>
      <w:hyperlink r:id="rId13">
        <w:r w:rsidR="00A31CA8" w:rsidRPr="00A91490">
          <w:rPr>
            <w:rFonts w:ascii="Arabic Transparent" w:hAnsi="Arabic Transparent" w:cs="Arial"/>
            <w:color w:val="0000D4"/>
            <w:sz w:val="20"/>
            <w:u w:val="single"/>
            <w:rtl w:val="0"/>
          </w:rPr>
          <w:t>http://www.icann.org/en/committees/board-gac-2009/board-gac-jwg-final-report-19jun11-en.pdf</w:t>
        </w:r>
      </w:hyperlink>
    </w:p>
    <w:p w14:paraId="2027553B" w14:textId="77777777" w:rsidR="004134C7" w:rsidRPr="00A91490" w:rsidRDefault="004134C7" w:rsidP="004134C7">
      <w:pPr>
        <w:rPr>
          <w:rFonts w:ascii="Century Gothic" w:hAnsi="Century Gothic" w:cs="Arial"/>
          <w:color w:val="0000D4"/>
          <w:sz w:val="20"/>
          <w:szCs w:val="20"/>
          <w:u w:val="single"/>
        </w:rPr>
      </w:pPr>
    </w:p>
    <w:p w14:paraId="1FFD7AAC" w14:textId="5308AEAA" w:rsidR="004134C7" w:rsidRPr="00A91490" w:rsidRDefault="006B0F0E" w:rsidP="004134C7">
      <w:pPr>
        <w:rPr>
          <w:rFonts w:ascii="Arabic Transparent" w:hAnsi="Arabic Transparent" w:cs="Arial"/>
          <w:sz w:val="20"/>
          <w:szCs w:val="20"/>
        </w:rPr>
      </w:pPr>
      <w:r w:rsidRPr="00A91490">
        <w:rPr>
          <w:rFonts w:ascii="Arabic Transparent" w:hAnsi="Arabic Transparent" w:cs="Arial"/>
          <w:color w:val="000000" w:themeColor="text1"/>
          <w:sz w:val="20"/>
          <w:szCs w:val="20"/>
          <w:u w:val="single"/>
        </w:rPr>
        <w:t xml:space="preserve">الصفحة الرئيسية لفريق </w:t>
      </w:r>
      <w:r w:rsidRPr="00A91490">
        <w:rPr>
          <w:rFonts w:ascii="Arabic Transparent" w:hAnsi="Arabic Transparent" w:cs="Arial"/>
          <w:color w:val="000000" w:themeColor="text1"/>
          <w:sz w:val="20"/>
          <w:u w:val="single"/>
          <w:rtl w:val="0"/>
        </w:rPr>
        <w:t>ATRT</w:t>
      </w:r>
      <w:r w:rsidRPr="00A91490">
        <w:rPr>
          <w:rFonts w:ascii="Arabic Transparent" w:hAnsi="Arabic Transparent" w:cs="Arial"/>
          <w:color w:val="000000" w:themeColor="text1"/>
          <w:sz w:val="20"/>
          <w:szCs w:val="20"/>
          <w:u w:val="single"/>
        </w:rPr>
        <w:t xml:space="preserve"> في </w:t>
      </w:r>
      <w:r w:rsidRPr="00A91490">
        <w:rPr>
          <w:rFonts w:ascii="Arabic Transparent" w:hAnsi="Arabic Transparent" w:cs="Arial"/>
          <w:color w:val="000000" w:themeColor="text1"/>
          <w:sz w:val="20"/>
          <w:u w:val="single"/>
          <w:rtl w:val="0"/>
        </w:rPr>
        <w:t>ICANN:</w:t>
      </w:r>
      <w:r w:rsidRPr="00A91490">
        <w:rPr>
          <w:rFonts w:ascii="Arabic Transparent" w:hAnsi="Arabic Transparent" w:cs="Arial"/>
          <w:color w:val="0000D4"/>
          <w:sz w:val="20"/>
          <w:szCs w:val="20"/>
          <w:u w:val="single"/>
        </w:rPr>
        <w:t xml:space="preserve"> </w:t>
      </w:r>
      <w:hyperlink r:id="rId14">
        <w:r w:rsidRPr="00A91490">
          <w:rPr>
            <w:rStyle w:val="Hipercze"/>
            <w:rFonts w:ascii="Arabic Transparent" w:hAnsi="Arabic Transparent" w:cs="Arial"/>
            <w:sz w:val="20"/>
            <w:rtl w:val="0"/>
          </w:rPr>
          <w:t>https://www.icann.org/resources/accountability</w:t>
        </w:r>
      </w:hyperlink>
    </w:p>
    <w:p w14:paraId="38F89298" w14:textId="77777777" w:rsidR="004361B1" w:rsidRPr="00A91490" w:rsidRDefault="004361B1" w:rsidP="004361B1">
      <w:pPr>
        <w:pStyle w:val="Tekstpodstawowy"/>
        <w:ind w:right="545"/>
        <w:rPr>
          <w:rFonts w:cs="Arial"/>
        </w:rPr>
      </w:pPr>
    </w:p>
    <w:p w14:paraId="331C9076" w14:textId="77777777" w:rsidR="004361B1" w:rsidRPr="00A91490" w:rsidRDefault="004361B1" w:rsidP="00825BCE">
      <w:pPr>
        <w:pStyle w:val="Nagwek2"/>
      </w:pPr>
      <w:bookmarkStart w:id="1" w:name="_Hlk484433727"/>
      <w:r w:rsidRPr="00A91490">
        <w:rPr>
          <w:rtl/>
        </w:rPr>
        <w:t>إدارة</w:t>
      </w:r>
      <w:r w:rsidRPr="00A91490">
        <w:t xml:space="preserve"> </w:t>
      </w:r>
      <w:r w:rsidRPr="00A91490">
        <w:rPr>
          <w:rtl/>
        </w:rPr>
        <w:t>الوثائق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39"/>
      </w:tblGrid>
      <w:tr w:rsidR="004361B1" w:rsidRPr="00A91490" w14:paraId="59EA12E9" w14:textId="77777777" w:rsidTr="00C365F8">
        <w:tc>
          <w:tcPr>
            <w:tcW w:w="3083" w:type="dxa"/>
            <w:vAlign w:val="center"/>
          </w:tcPr>
          <w:p w14:paraId="69DEBE08" w14:textId="77777777" w:rsidR="004361B1" w:rsidRPr="00A91490" w:rsidRDefault="004361B1" w:rsidP="0012301E">
            <w:pPr>
              <w:ind w:right="-132"/>
              <w:rPr>
                <w:rFonts w:ascii="Arabic Transparent" w:eastAsiaTheme="minorEastAsia" w:hAnsi="Arabic Transparent" w:cs="Arial"/>
                <w:b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b/>
                <w:bCs/>
                <w:sz w:val="20"/>
                <w:szCs w:val="20"/>
              </w:rPr>
              <w:t>العنوان</w:t>
            </w:r>
          </w:p>
        </w:tc>
        <w:tc>
          <w:tcPr>
            <w:tcW w:w="5439" w:type="dxa"/>
            <w:vAlign w:val="center"/>
          </w:tcPr>
          <w:p w14:paraId="212D1778" w14:textId="307FE7AD" w:rsidR="004361B1" w:rsidRPr="00A91490" w:rsidRDefault="00C365F8" w:rsidP="003F39D5">
            <w:pPr>
              <w:ind w:right="545"/>
              <w:rPr>
                <w:rFonts w:ascii="Arabic Transparent" w:eastAsiaTheme="minorEastAsia" w:hAnsi="Arabic Transparent" w:cs="Arial"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sz w:val="20"/>
                <w:rtl w:val="0"/>
              </w:rPr>
              <w:t>BGRI</w:t>
            </w:r>
          </w:p>
        </w:tc>
      </w:tr>
      <w:tr w:rsidR="004361B1" w:rsidRPr="00A91490" w14:paraId="6AC7363A" w14:textId="77777777" w:rsidTr="00C365F8">
        <w:tc>
          <w:tcPr>
            <w:tcW w:w="3083" w:type="dxa"/>
            <w:vAlign w:val="center"/>
          </w:tcPr>
          <w:p w14:paraId="3BD70AEF" w14:textId="77777777" w:rsidR="004361B1" w:rsidRPr="00A91490" w:rsidRDefault="004361B1" w:rsidP="0012301E">
            <w:pPr>
              <w:ind w:right="-132"/>
              <w:rPr>
                <w:rFonts w:ascii="Arabic Transparent" w:eastAsiaTheme="minorEastAsia" w:hAnsi="Arabic Transparent" w:cs="Arial"/>
                <w:b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b/>
                <w:bCs/>
                <w:sz w:val="20"/>
                <w:szCs w:val="20"/>
              </w:rPr>
              <w:t>التوزيع</w:t>
            </w:r>
          </w:p>
        </w:tc>
        <w:tc>
          <w:tcPr>
            <w:tcW w:w="5439" w:type="dxa"/>
            <w:vAlign w:val="center"/>
          </w:tcPr>
          <w:p w14:paraId="43CB56A1" w14:textId="77777777" w:rsidR="004361B1" w:rsidRPr="00A91490" w:rsidRDefault="004361B1" w:rsidP="0012301E">
            <w:pPr>
              <w:ind w:right="545"/>
              <w:rPr>
                <w:rFonts w:ascii="Arabic Transparent" w:eastAsiaTheme="minorEastAsia" w:hAnsi="Arabic Transparent" w:cs="Arial"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sz w:val="20"/>
                <w:szCs w:val="20"/>
              </w:rPr>
              <w:t xml:space="preserve">أعضاء </w:t>
            </w:r>
            <w:r w:rsidRPr="00A91490">
              <w:rPr>
                <w:rFonts w:ascii="Arabic Transparent" w:eastAsiaTheme="minorEastAsia" w:hAnsi="Arabic Transparent" w:cs="Arial"/>
                <w:sz w:val="20"/>
                <w:rtl w:val="0"/>
              </w:rPr>
              <w:t>GAC</w:t>
            </w:r>
          </w:p>
        </w:tc>
      </w:tr>
      <w:tr w:rsidR="004361B1" w:rsidRPr="00A91490" w14:paraId="10FBEF62" w14:textId="77777777" w:rsidTr="00C365F8">
        <w:tc>
          <w:tcPr>
            <w:tcW w:w="3083" w:type="dxa"/>
            <w:vAlign w:val="center"/>
          </w:tcPr>
          <w:p w14:paraId="777843CE" w14:textId="77777777" w:rsidR="004361B1" w:rsidRPr="00A91490" w:rsidRDefault="004361B1" w:rsidP="0012301E">
            <w:pPr>
              <w:ind w:right="-132"/>
              <w:rPr>
                <w:rFonts w:ascii="Arabic Transparent" w:eastAsiaTheme="minorEastAsia" w:hAnsi="Arabic Transparent" w:cs="Arial"/>
                <w:b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b/>
                <w:bCs/>
                <w:sz w:val="20"/>
                <w:szCs w:val="20"/>
              </w:rPr>
              <w:t>تاريخ التوزيع</w:t>
            </w:r>
          </w:p>
        </w:tc>
        <w:tc>
          <w:tcPr>
            <w:tcW w:w="5439" w:type="dxa"/>
            <w:vAlign w:val="center"/>
          </w:tcPr>
          <w:p w14:paraId="5BCE3609" w14:textId="4350CD49" w:rsidR="004361B1" w:rsidRPr="00A91490" w:rsidRDefault="005D3DAA" w:rsidP="00533EC9">
            <w:pPr>
              <w:ind w:right="545"/>
              <w:rPr>
                <w:rFonts w:ascii="Arabic Transparent" w:eastAsiaTheme="minorEastAsia" w:hAnsi="Arabic Transparent" w:cs="Arial"/>
                <w:sz w:val="20"/>
                <w:szCs w:val="20"/>
              </w:rPr>
            </w:pPr>
            <w:r w:rsidRPr="00A91490">
              <w:rPr>
                <w:rFonts w:ascii="Arabic Transparent" w:eastAsiaTheme="minorEastAsia" w:hAnsi="Arabic Transparent" w:cs="Arial"/>
                <w:sz w:val="20"/>
                <w:szCs w:val="20"/>
              </w:rPr>
              <w:t>7 يونيو/حزيران 2018</w:t>
            </w:r>
          </w:p>
        </w:tc>
      </w:tr>
      <w:bookmarkEnd w:id="1"/>
    </w:tbl>
    <w:p w14:paraId="2C1B3C99" w14:textId="77777777" w:rsidR="004361B1" w:rsidRPr="00A91490" w:rsidRDefault="004361B1" w:rsidP="004361B1">
      <w:pPr>
        <w:pStyle w:val="Tekstpodstawowy"/>
        <w:ind w:right="545"/>
        <w:rPr>
          <w:rFonts w:cs="Arial"/>
          <w:color w:val="000000"/>
          <w:szCs w:val="20"/>
        </w:rPr>
      </w:pPr>
    </w:p>
    <w:p w14:paraId="2BF083B0" w14:textId="77777777" w:rsidR="004361B1" w:rsidRPr="00A91490" w:rsidRDefault="004361B1" w:rsidP="004361B1">
      <w:pPr>
        <w:pStyle w:val="Tekstpodstawowy"/>
        <w:rPr>
          <w:rFonts w:cs="Arial"/>
        </w:rPr>
      </w:pPr>
    </w:p>
    <w:sectPr w:rsidR="004361B1" w:rsidRPr="00A91490" w:rsidSect="0012301E">
      <w:headerReference w:type="default" r:id="rId15"/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71736" w14:textId="77777777" w:rsidR="00392376" w:rsidRDefault="00392376">
      <w:r>
        <w:separator/>
      </w:r>
    </w:p>
  </w:endnote>
  <w:endnote w:type="continuationSeparator" w:id="0">
    <w:p w14:paraId="63E1E5D4" w14:textId="77777777" w:rsidR="00392376" w:rsidRDefault="0039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1C59" w14:textId="77777777" w:rsidR="0012301E" w:rsidRDefault="004361B1" w:rsidP="00123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8D6949" w14:textId="77777777" w:rsidR="0012301E" w:rsidRDefault="0012301E" w:rsidP="001230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CA4A" w14:textId="3DEF63B9" w:rsidR="0012301E" w:rsidRDefault="004361B1" w:rsidP="001230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A1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613BF2" w14:textId="77777777" w:rsidR="0012301E" w:rsidRDefault="0012301E" w:rsidP="001230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74E1" w14:textId="77777777" w:rsidR="00392376" w:rsidRDefault="00392376">
      <w:r>
        <w:separator/>
      </w:r>
    </w:p>
  </w:footnote>
  <w:footnote w:type="continuationSeparator" w:id="0">
    <w:p w14:paraId="63E1896F" w14:textId="77777777" w:rsidR="00392376" w:rsidRDefault="0039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B69B" w14:textId="74F4E5A9" w:rsidR="0012301E" w:rsidRDefault="00967A12" w:rsidP="00967A12">
    <w:pPr>
      <w:pStyle w:val="Nagwek"/>
      <w:jc w:val="center"/>
    </w:pPr>
    <w:r w:rsidRPr="00CD706E">
      <w:rPr>
        <w:rFonts w:ascii="Arial" w:hAnsi="Arial" w:cs="Arial"/>
        <w:noProof/>
        <w:sz w:val="20"/>
        <w:szCs w:val="20"/>
        <w:lang w:val="pl-PL" w:eastAsia="ja-JP"/>
      </w:rPr>
      <w:drawing>
        <wp:inline distT="0" distB="0" distL="0" distR="0" wp14:anchorId="721B84E5" wp14:editId="24C632D0">
          <wp:extent cx="2295525" cy="904875"/>
          <wp:effectExtent l="0" t="0" r="9525" b="9525"/>
          <wp:docPr id="1" name="Picture 1" descr="W:\ICANN\!MANAGEMENT\Graphics\ICANN ! GAC\ICANN GAC-A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CANN\!MANAGEMENT\Graphics\ICANN ! GAC\ICANN GAC-A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50A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799"/>
    <w:multiLevelType w:val="multilevel"/>
    <w:tmpl w:val="E1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D61E6"/>
    <w:multiLevelType w:val="multilevel"/>
    <w:tmpl w:val="203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96B99"/>
    <w:multiLevelType w:val="hybridMultilevel"/>
    <w:tmpl w:val="1016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6B09"/>
    <w:multiLevelType w:val="hybridMultilevel"/>
    <w:tmpl w:val="2E4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F46"/>
    <w:multiLevelType w:val="hybridMultilevel"/>
    <w:tmpl w:val="46B2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8F7"/>
    <w:multiLevelType w:val="hybridMultilevel"/>
    <w:tmpl w:val="E00A97AC"/>
    <w:lvl w:ilvl="0" w:tplc="D248C3E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72D34"/>
    <w:multiLevelType w:val="hybridMultilevel"/>
    <w:tmpl w:val="C03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1"/>
    <w:rsid w:val="00083781"/>
    <w:rsid w:val="000A2E18"/>
    <w:rsid w:val="000A353D"/>
    <w:rsid w:val="000F5DA7"/>
    <w:rsid w:val="001002A0"/>
    <w:rsid w:val="0010486C"/>
    <w:rsid w:val="00110CA7"/>
    <w:rsid w:val="0012301E"/>
    <w:rsid w:val="00141865"/>
    <w:rsid w:val="001F22E5"/>
    <w:rsid w:val="00285EDD"/>
    <w:rsid w:val="002E0299"/>
    <w:rsid w:val="002F02F5"/>
    <w:rsid w:val="00331F2A"/>
    <w:rsid w:val="00366290"/>
    <w:rsid w:val="003765A3"/>
    <w:rsid w:val="00392376"/>
    <w:rsid w:val="003F39D5"/>
    <w:rsid w:val="004134C7"/>
    <w:rsid w:val="004361B1"/>
    <w:rsid w:val="00492172"/>
    <w:rsid w:val="004A7363"/>
    <w:rsid w:val="004D0D3B"/>
    <w:rsid w:val="004E3525"/>
    <w:rsid w:val="004E4507"/>
    <w:rsid w:val="00533EC9"/>
    <w:rsid w:val="00537BE7"/>
    <w:rsid w:val="005B60AA"/>
    <w:rsid w:val="005D3DAA"/>
    <w:rsid w:val="00603893"/>
    <w:rsid w:val="00671DD7"/>
    <w:rsid w:val="006B0F0E"/>
    <w:rsid w:val="007074E5"/>
    <w:rsid w:val="00775D36"/>
    <w:rsid w:val="007B5355"/>
    <w:rsid w:val="00825BCE"/>
    <w:rsid w:val="008F68D5"/>
    <w:rsid w:val="009235E4"/>
    <w:rsid w:val="00967A12"/>
    <w:rsid w:val="00A31CA8"/>
    <w:rsid w:val="00A91490"/>
    <w:rsid w:val="00AC08BE"/>
    <w:rsid w:val="00AD289B"/>
    <w:rsid w:val="00B00F9D"/>
    <w:rsid w:val="00BC6D1B"/>
    <w:rsid w:val="00BE5829"/>
    <w:rsid w:val="00C0678C"/>
    <w:rsid w:val="00C365F8"/>
    <w:rsid w:val="00C50F01"/>
    <w:rsid w:val="00CD1407"/>
    <w:rsid w:val="00CE1DB3"/>
    <w:rsid w:val="00DD157E"/>
    <w:rsid w:val="00DE28B4"/>
    <w:rsid w:val="00E01D4E"/>
    <w:rsid w:val="00E15046"/>
    <w:rsid w:val="00E15B53"/>
    <w:rsid w:val="00E6612A"/>
    <w:rsid w:val="00EA4C85"/>
    <w:rsid w:val="00F42B96"/>
    <w:rsid w:val="00F72B7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3D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ar-EG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1B1"/>
    <w:pPr>
      <w:bidi/>
    </w:pPr>
    <w:rPr>
      <w:rFonts w:ascii="Times New Roman" w:eastAsia="Times New Roman" w:hAnsi="Times New Roman" w:cs="Times New Roman"/>
      <w:rtl/>
    </w:rPr>
  </w:style>
  <w:style w:type="paragraph" w:styleId="Nagwek1">
    <w:name w:val="heading 1"/>
    <w:next w:val="Tekstpodstawowy"/>
    <w:link w:val="Nagwek1Znak"/>
    <w:uiPriority w:val="9"/>
    <w:qFormat/>
    <w:rsid w:val="004361B1"/>
    <w:pPr>
      <w:keepNext/>
      <w:keepLines/>
      <w:pageBreakBefore/>
      <w:pBdr>
        <w:top w:val="single" w:sz="4" w:space="1" w:color="00408E"/>
        <w:bottom w:val="single" w:sz="4" w:space="1" w:color="00408E"/>
      </w:pBdr>
      <w:bidi/>
      <w:spacing w:after="200" w:line="276" w:lineRule="auto"/>
      <w:outlineLvl w:val="0"/>
    </w:pPr>
    <w:rPr>
      <w:rFonts w:ascii="Century Gothic" w:eastAsia="Calibri" w:hAnsi="Century Gothic" w:cs="Times New Roman"/>
      <w:b/>
      <w:color w:val="00408E"/>
      <w:sz w:val="28"/>
      <w:szCs w:val="28"/>
      <w:rtl/>
      <w:lang w:val="en-AU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825BCE"/>
    <w:pPr>
      <w:keepNext/>
      <w:keepLines/>
      <w:spacing w:after="0" w:line="276" w:lineRule="auto"/>
      <w:ind w:right="547"/>
      <w:outlineLvl w:val="1"/>
    </w:pPr>
    <w:rPr>
      <w:rFonts w:ascii="Arial" w:eastAsia="Calibri" w:hAnsi="Arial" w:cs="Arial"/>
      <w:b/>
      <w:bCs/>
      <w:color w:val="2F5496" w:themeColor="accent1" w:themeShade="BF"/>
      <w:rtl w:val="0"/>
      <w:lang w:val="en-AU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1B1"/>
    <w:rPr>
      <w:rFonts w:ascii="Century Gothic" w:eastAsia="Calibri" w:hAnsi="Century Gothic" w:cs="Times New Roman"/>
      <w:b/>
      <w:color w:val="00408E"/>
      <w:sz w:val="28"/>
      <w:szCs w:val="28"/>
      <w:lang w:val="en-AU"/>
    </w:rPr>
  </w:style>
  <w:style w:type="character" w:customStyle="1" w:styleId="Nagwek2Znak">
    <w:name w:val="Nagłówek 2 Znak"/>
    <w:basedOn w:val="Domylnaczcionkaakapitu"/>
    <w:link w:val="Nagwek2"/>
    <w:uiPriority w:val="9"/>
    <w:rsid w:val="00825BCE"/>
    <w:rPr>
      <w:rFonts w:ascii="Arial" w:eastAsia="Calibri" w:hAnsi="Arial" w:cs="Arial"/>
      <w:b/>
      <w:bCs/>
      <w:color w:val="2F5496" w:themeColor="accent1" w:themeShade="BF"/>
      <w:lang w:val="en-AU"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361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361B1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4361B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361B1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4361B1"/>
  </w:style>
  <w:style w:type="paragraph" w:styleId="Tekstpodstawowy">
    <w:name w:val="Body Text"/>
    <w:basedOn w:val="Normalny"/>
    <w:link w:val="TekstpodstawowyZnak"/>
    <w:uiPriority w:val="99"/>
    <w:unhideWhenUsed/>
    <w:rsid w:val="00436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61B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361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61B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61B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361B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68D5"/>
    <w:rPr>
      <w:color w:val="954F72" w:themeColor="followedHyperlink"/>
      <w:u w:val="single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resources/reviews/specific-reviews/atrt" TargetMode="External"/><Relationship Id="rId13" Type="http://schemas.openxmlformats.org/officeDocument/2006/relationships/hyperlink" Target="http://www.icann.org/en/committees/board-gac-2009/board-gac-jwg-final-report-19jun11-e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ann.org/resources/pages/board-gac-2011-2012-02-28-en" TargetMode="External"/><Relationship Id="rId12" Type="http://schemas.openxmlformats.org/officeDocument/2006/relationships/hyperlink" Target="http://www.icann.org/en/committees/board-gac-2009/board-gac-jwg-final-report-19jun11-en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nn.org/en/reviews/affirmation/atrt-final-recommendations-31dec10-e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mmunity.icann.org/display/atrt/ATRT2+Implementation+Progr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cann.org/resources/reviews/specific-reviews/atrt" TargetMode="External"/><Relationship Id="rId14" Type="http://schemas.openxmlformats.org/officeDocument/2006/relationships/hyperlink" Target="https://www.icann.org/resources/account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abic Transparent" panose="020F0302020204030204"/>
        <a:ea typeface="Arabic Transparent"/>
        <a:cs typeface="Arabic Transparent"/>
      </a:majorFont>
      <a:minorFont>
        <a:latin typeface="Arabic Transparent" panose="020F0502020204030204"/>
        <a:ea typeface="Arabic Transparent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جوليا تشارڤولين</dc:creator>
  <cp:keywords/>
  <dc:description/>
  <cp:lastModifiedBy>Użytkownik systemu Windows</cp:lastModifiedBy>
  <cp:revision>10</cp:revision>
  <cp:lastPrinted>2018-06-21T08:07:00Z</cp:lastPrinted>
  <dcterms:created xsi:type="dcterms:W3CDTF">2018-06-13T08:54:00Z</dcterms:created>
  <dcterms:modified xsi:type="dcterms:W3CDTF">2018-06-21T11:17:00Z</dcterms:modified>
</cp:coreProperties>
</file>